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6 inch X 6 inch (41mm X 152mm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6 inch (41mm X 152mm) Link &amp; Lock Batten extruded aluminum 6063-T5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6 inch (41mm X 152mm), 24 ft (7315.2mm) batten.</w:t>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pPr>
      <w:bookmarkStart w:colFirst="0" w:colLast="0" w:name="_u4ikl4u78yjg" w:id="39"/>
      <w:bookmarkEnd w:id="39"/>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B">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C">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8"/>
      <w:bookmarkEnd w:id="48"/>
      <w:r w:rsidDel="00000000" w:rsidR="00000000" w:rsidRPr="00000000">
        <w:rPr>
          <w:rFonts w:ascii="Calibri" w:cs="Calibri" w:eastAsia="Calibri" w:hAnsi="Calibri"/>
          <w:color w:val="000000"/>
          <w:sz w:val="22"/>
          <w:szCs w:val="22"/>
          <w:rtl w:val="0"/>
        </w:rPr>
        <w:t xml:space="preserve">.2          </w:t>
        <w:tab/>
        <w:t xml:space="preserve">Install soffit and fascia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9"/>
      <w:bookmarkEnd w:id="49"/>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50"/>
      <w:bookmarkEnd w:id="50"/>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1"/>
      <w:bookmarkEnd w:id="51"/>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6”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